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8EFC8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名　　稱：四烷基鉛中毒預防規則</w:t>
      </w:r>
    </w:p>
    <w:p w14:paraId="5413C7BD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修正日期：民國</w:t>
      </w:r>
      <w:r>
        <w:rPr>
          <w:rFonts w:ascii="細明體" w:eastAsia="細明體" w:cs="細明體"/>
          <w:kern w:val="0"/>
          <w:szCs w:val="24"/>
          <w:lang w:val="zh-TW"/>
        </w:rPr>
        <w:t xml:space="preserve"> 103 </w:t>
      </w:r>
      <w:r>
        <w:rPr>
          <w:rFonts w:ascii="細明體" w:eastAsia="細明體" w:cs="細明體" w:hint="eastAsia"/>
          <w:kern w:val="0"/>
          <w:szCs w:val="24"/>
          <w:lang w:val="zh-TW"/>
        </w:rPr>
        <w:t>年</w:t>
      </w:r>
      <w:r>
        <w:rPr>
          <w:rFonts w:ascii="細明體" w:eastAsia="細明體" w:cs="細明體"/>
          <w:kern w:val="0"/>
          <w:szCs w:val="24"/>
          <w:lang w:val="zh-TW"/>
        </w:rPr>
        <w:t xml:space="preserve"> 06 </w:t>
      </w:r>
      <w:r>
        <w:rPr>
          <w:rFonts w:ascii="細明體" w:eastAsia="細明體" w:cs="細明體" w:hint="eastAsia"/>
          <w:kern w:val="0"/>
          <w:szCs w:val="24"/>
          <w:lang w:val="zh-TW"/>
        </w:rPr>
        <w:t>月</w:t>
      </w:r>
      <w:r>
        <w:rPr>
          <w:rFonts w:ascii="細明體" w:eastAsia="細明體" w:cs="細明體"/>
          <w:kern w:val="0"/>
          <w:szCs w:val="24"/>
          <w:lang w:val="zh-TW"/>
        </w:rPr>
        <w:t xml:space="preserve"> 30 </w:t>
      </w:r>
      <w:r>
        <w:rPr>
          <w:rFonts w:ascii="細明體" w:eastAsia="細明體" w:cs="細明體" w:hint="eastAsia"/>
          <w:kern w:val="0"/>
          <w:szCs w:val="24"/>
          <w:lang w:val="zh-TW"/>
        </w:rPr>
        <w:t>日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148527B7" w14:textId="15E26FB6" w:rsidR="003275DC" w:rsidRDefault="003275DC" w:rsidP="00E30111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</w:p>
    <w:p w14:paraId="20D688C4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2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61498265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本規則適用於從事下列各款四烷基鉛作業之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之事業：</w:t>
      </w:r>
    </w:p>
    <w:p w14:paraId="5C1C4990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一、將四烷基鉛混入汽油或將其導入儲槽之作業。</w:t>
      </w:r>
    </w:p>
    <w:p w14:paraId="443EF03B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二、修護、改裝、拆卸、組配、破壞或搬運前款作業使用之裝置之作業。</w:t>
      </w:r>
    </w:p>
    <w:p w14:paraId="3D92D5E2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三、處理內部被四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烷基鉛或加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鉛汽油污染或有被污染之虞之儲槽或其他設</w:t>
      </w:r>
    </w:p>
    <w:p w14:paraId="45241FC2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備之作業。</w:t>
      </w:r>
    </w:p>
    <w:p w14:paraId="15E33B75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四、處理含有四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烷基鉛或加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鉛汽油之殘渣、廢液等之作業。</w:t>
      </w:r>
    </w:p>
    <w:p w14:paraId="496CB326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五、處理存有四烷基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鉛之桶或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其他容器之作業。</w:t>
      </w:r>
    </w:p>
    <w:p w14:paraId="6A2182C2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六、使用四烷基鉛研究或試驗之作業。</w:t>
      </w:r>
    </w:p>
    <w:p w14:paraId="22A23108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七、清除被四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烷基鉛或加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鉛汽油污染或有被污染之虞之物品或場所之作業</w:t>
      </w:r>
    </w:p>
    <w:p w14:paraId="433FD09B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。</w:t>
      </w:r>
    </w:p>
    <w:p w14:paraId="023295D7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事業單位從事前項二款以上之作業，應同時符合各款作業之規定。</w:t>
      </w:r>
    </w:p>
    <w:p w14:paraId="69AB102D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第</w:t>
      </w:r>
      <w:r>
        <w:rPr>
          <w:rFonts w:ascii="細明體" w:eastAsia="細明體" w:cs="細明體"/>
          <w:kern w:val="0"/>
          <w:szCs w:val="24"/>
          <w:lang w:val="zh-TW"/>
        </w:rPr>
        <w:t xml:space="preserve"> 3 </w:t>
      </w:r>
      <w:r>
        <w:rPr>
          <w:rFonts w:ascii="細明體" w:eastAsia="細明體" w:cs="細明體" w:hint="eastAsia"/>
          <w:kern w:val="0"/>
          <w:szCs w:val="24"/>
          <w:lang w:val="zh-TW"/>
        </w:rPr>
        <w:t>條</w:t>
      </w:r>
      <w:r>
        <w:rPr>
          <w:rFonts w:ascii="細明體" w:eastAsia="細明體" w:cs="細明體"/>
          <w:kern w:val="0"/>
          <w:szCs w:val="24"/>
          <w:lang w:val="zh-TW"/>
        </w:rPr>
        <w:t xml:space="preserve"> </w:t>
      </w:r>
    </w:p>
    <w:p w14:paraId="62987B98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本規則用詞，定義如下：</w:t>
      </w:r>
    </w:p>
    <w:p w14:paraId="0ECA609F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一、四烷基鉛：指四甲基鉛、四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乙基鉛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甲基三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乙基鉛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、二甲基二乙基</w:t>
      </w:r>
    </w:p>
    <w:p w14:paraId="04E9648B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鉛、三甲基</w:t>
      </w:r>
      <w:proofErr w:type="gramStart"/>
      <w:r>
        <w:rPr>
          <w:rFonts w:ascii="細明體" w:eastAsia="細明體" w:cs="細明體" w:hint="eastAsia"/>
          <w:kern w:val="0"/>
          <w:szCs w:val="24"/>
          <w:lang w:val="zh-TW"/>
        </w:rPr>
        <w:t>一乙基鉛及</w:t>
      </w:r>
      <w:proofErr w:type="gramEnd"/>
      <w:r>
        <w:rPr>
          <w:rFonts w:ascii="細明體" w:eastAsia="細明體" w:cs="細明體" w:hint="eastAsia"/>
          <w:kern w:val="0"/>
          <w:szCs w:val="24"/>
          <w:lang w:val="zh-TW"/>
        </w:rPr>
        <w:t>含有上列物質之抗震劑。</w:t>
      </w:r>
    </w:p>
    <w:p w14:paraId="08C2E57E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二、加鉛汽油：指添加四烷基鉛之汽油。</w:t>
      </w:r>
    </w:p>
    <w:p w14:paraId="37EAC0B5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三、裝置：指第二條第一項第一款作業中使用之機械或設備。</w:t>
      </w:r>
    </w:p>
    <w:p w14:paraId="43EFA07E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四、局部排氣裝置：指藉動力吸引並排出已發散四烷基鉛蒸氣之設備。</w:t>
      </w:r>
    </w:p>
    <w:p w14:paraId="5AECD937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 w:hint="eastAsia"/>
          <w:kern w:val="0"/>
          <w:szCs w:val="24"/>
          <w:lang w:val="zh-TW"/>
        </w:rPr>
        <w:t>五、換氣裝置：指藉動力輸入外氣置換儲槽、地下室、船艙、坑井或通風</w:t>
      </w:r>
    </w:p>
    <w:p w14:paraId="4B55EBD8" w14:textId="77777777" w:rsidR="000750EC" w:rsidRDefault="000750EC" w:rsidP="000750EC">
      <w:pPr>
        <w:autoSpaceDE w:val="0"/>
        <w:autoSpaceDN w:val="0"/>
        <w:adjustRightInd w:val="0"/>
        <w:rPr>
          <w:rFonts w:ascii="細明體" w:eastAsia="細明體" w:cs="細明體"/>
          <w:kern w:val="0"/>
          <w:szCs w:val="24"/>
          <w:lang w:val="zh-TW"/>
        </w:rPr>
      </w:pPr>
      <w:r>
        <w:rPr>
          <w:rFonts w:ascii="細明體" w:eastAsia="細明體" w:cs="細明體"/>
          <w:kern w:val="0"/>
          <w:szCs w:val="24"/>
          <w:lang w:val="zh-TW"/>
        </w:rPr>
        <w:t xml:space="preserve">    </w:t>
      </w:r>
      <w:r>
        <w:rPr>
          <w:rFonts w:ascii="細明體" w:eastAsia="細明體" w:cs="細明體" w:hint="eastAsia"/>
          <w:kern w:val="0"/>
          <w:szCs w:val="24"/>
          <w:lang w:val="zh-TW"/>
        </w:rPr>
        <w:t>不充分之場所等內部空氣之設備。</w:t>
      </w:r>
    </w:p>
    <w:p w14:paraId="2AE448A0" w14:textId="77777777" w:rsidR="000750EC" w:rsidRPr="00E30111" w:rsidRDefault="000750EC" w:rsidP="00E30111">
      <w:pPr>
        <w:autoSpaceDE w:val="0"/>
        <w:autoSpaceDN w:val="0"/>
        <w:adjustRightInd w:val="0"/>
        <w:rPr>
          <w:rFonts w:ascii="細明體" w:eastAsia="細明體" w:cs="細明體" w:hint="eastAsia"/>
          <w:kern w:val="0"/>
          <w:szCs w:val="24"/>
          <w:lang w:val="zh-TW"/>
        </w:rPr>
      </w:pPr>
    </w:p>
    <w:sectPr w:rsidR="000750EC" w:rsidRPr="00E301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DC"/>
    <w:rsid w:val="000750EC"/>
    <w:rsid w:val="003275DC"/>
    <w:rsid w:val="00663FEA"/>
    <w:rsid w:val="00E3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FDF88"/>
  <w15:chartTrackingRefBased/>
  <w15:docId w15:val="{0982D55B-6818-4E62-9B97-09BD8DA7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Gau</dc:creator>
  <cp:keywords/>
  <dc:description/>
  <cp:lastModifiedBy>Edward Gau</cp:lastModifiedBy>
  <cp:revision>2</cp:revision>
  <dcterms:created xsi:type="dcterms:W3CDTF">2021-03-22T07:13:00Z</dcterms:created>
  <dcterms:modified xsi:type="dcterms:W3CDTF">2021-03-22T07:13:00Z</dcterms:modified>
</cp:coreProperties>
</file>